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816"/>
        <w:ind w:firstLine="709"/>
        <w:jc w:val="center"/>
        <w:spacing w:before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выявили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8655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га для создания туристических объектов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48"/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Новосибирская область – в числе регионов-лидеров по количеству выявленных территорий.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момента старта в июле 2021 года проекта Росреестра «Земля для туризма»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России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выявлено 1406 земельных участков и территорий общей площадью 30,3 тыс. 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которые можно использовать для создания туристических объектов, определено 925 объектов туристического интереса.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sz w:val="28"/>
          <w:szCs w:val="24"/>
          <w:lang w:eastAsia="ru-RU"/>
        </w:rPr>
        <w:t xml:space="preserve">«Сегодня в сервисе «Земля для туризма»,</w:t>
      </w:r>
      <w:r>
        <w:rPr>
          <w:rFonts w:ascii="Times New Roman" w:hAnsi="Times New Roman" w:eastAsia="Times New Roman"/>
          <w:i/>
          <w:iCs/>
          <w:sz w:val="28"/>
          <w:szCs w:val="24"/>
          <w:lang w:eastAsia="ru-RU"/>
        </w:rPr>
        <w:t xml:space="preserve"> который доступен на платформе «</w:t>
      </w:r>
      <w:r>
        <w:rPr>
          <w:rFonts w:ascii="Times New Roman" w:hAnsi="Times New Roman" w:eastAsia="Times New Roman"/>
          <w:i/>
          <w:iCs/>
          <w:sz w:val="28"/>
          <w:szCs w:val="24"/>
          <w:lang w:eastAsia="ru-RU"/>
        </w:rPr>
        <w:t xml:space="preserve">Национальная система пространственных данны</w:t>
      </w:r>
      <w:r>
        <w:rPr>
          <w:rFonts w:ascii="Times New Roman" w:hAnsi="Times New Roman" w:eastAsia="Times New Roman"/>
          <w:i/>
          <w:iCs/>
          <w:sz w:val="28"/>
          <w:szCs w:val="24"/>
          <w:lang w:eastAsia="ru-RU"/>
        </w:rPr>
        <w:t xml:space="preserve">х»</w:t>
      </w:r>
      <w:r>
        <w:rPr>
          <w:rFonts w:ascii="Times New Roman" w:hAnsi="Times New Roman" w:eastAsia="Times New Roman"/>
          <w:i/>
          <w:iCs/>
          <w:sz w:val="28"/>
          <w:szCs w:val="24"/>
          <w:lang w:eastAsia="ru-RU"/>
        </w:rPr>
        <w:t xml:space="preserve">, размещены сведения о 1316 свободных участках общей площадью 16,7 тыс. га. Все желающие, в том числе потенциальные инвесторы, могут в режиме онлайн подать заявление о предоставлении интересующего их участка»,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 – сообщил руководитель Росреестра </w:t>
      </w:r>
      <w:r>
        <w:rPr>
          <w:rFonts w:ascii="Times New Roman" w:hAnsi="Times New Roman" w:eastAsia="Times New Roman"/>
          <w:b/>
          <w:bCs/>
          <w:sz w:val="28"/>
          <w:szCs w:val="24"/>
          <w:lang w:eastAsia="ru-RU"/>
        </w:rPr>
        <w:t xml:space="preserve">Олег Скуфинский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реди федеральных округов лидером по площади выявленных в рамках проекта участков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Сибирский федеральный округ (243 территории площадью 19,9 тыс. га), хороший результат показывают также Северо-Западный (132 участка площадью 2,6 тыс. га) и Приволжский (349 участков площадью 2,6 тыс. га) федеральные округа.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разрезе регионов наилучшие результаты у Республики Хакасия – 13 зем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ельных участков площадью 9,9 тыс. га, Новосибирской области – 36 земельных участков площадью 8,6 тыс. га, Мурманской области – 16 участков площадью 945 га, Республики Карелия – 20 участков площадью 869 га и Челябинской области – 71 участок площадью 838 га.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pStyle w:val="848"/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Новосибирской области земельные участки выявлены в Новосибирском, Маслянинском, Карасукском, Купинском, Доволенском и других районах. </w:t>
      </w:r>
      <w:r/>
      <w:r/>
    </w:p>
    <w:p>
      <w:pPr>
        <w:pStyle w:val="84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Наибольшее количество выявленных объектов туристического интереса – в Вологодской области (110), Новосибирской области (70), Пермском крае (67), Челябинской области (50) и Республике Дагестан (40).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объекты туристического интереса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включены Государственный природный заказник «Легостаевский», природный парк Караканский бор, памятники природы: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Бердские скалы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озеро Горькое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Купинском районе,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Елбанские ельники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Барсуковские пещеры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Петенёвские ельники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Каменистая степь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Буготакские сопки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в объекты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туристического интереса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вошли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озера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Карачи, Горькое в Здвинском районе, Островное, Чаны, Сартлан,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Абрашинский карьер - озеро Мраморное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Данилово, Довольное, Хорошее, Соленое, Кривое, Чистое и другие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горнолыжные курорты и комплексы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Юрманка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Кольцово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Иня-Новосибирск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Альбатрос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»),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узейный комплекс по истории золотодобычи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Маслянинском районе,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узей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Медеплавильный завод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Монетный двор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Сузунском районе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другие объекты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Управление Росреестра по Новосибирской области совместно с областными органами власти продолжает работу по поиску и вовлечению в экономический оборот территорий и земельных участков для туристической деятельности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сообщила заместитель руководителя Управления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Наталья Ивчатова.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Увеличение объектов и территорий туристической направленности делает Новосибирскую область более привлекательной для потенциальных застройщиков и повышает уровень региона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инвестиционной деятельности».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 Light">
    <w:panose1 w:val="020F05020202040302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816" w:customStyle="1">
    <w:name w:val="Заголовок 1"/>
    <w:basedOn w:val="729"/>
    <w:next w:val="729"/>
    <w:link w:val="917"/>
    <w:uiPriority w:val="9"/>
    <w:qFormat/>
    <w:pPr>
      <w:contextualSpacing w:val="0"/>
      <w:ind w:left="0" w:right="0" w:firstLine="0"/>
      <w:jc w:val="left"/>
      <w:keepLines/>
      <w:keepNext/>
      <w:pageBreakBefore w:val="0"/>
      <w:spacing w:before="240" w:beforeAutospacing="0" w:after="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libri Light" w:hAnsi="Calibri Light" w:eastAsia="Arial" w:cs="Times New Roman"/>
      <w:b w:val="0"/>
      <w:bCs w:val="0"/>
      <w:i w:val="0"/>
      <w:iCs w:val="0"/>
      <w:caps w:val="0"/>
      <w:smallCaps w:val="0"/>
      <w:strike w:val="0"/>
      <w:vanish w:val="0"/>
      <w:color w:val="2e74b5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301</cp:revision>
  <dcterms:created xsi:type="dcterms:W3CDTF">2009-04-08T02:19:00Z</dcterms:created>
  <dcterms:modified xsi:type="dcterms:W3CDTF">2025-07-07T08:34:58Z</dcterms:modified>
  <cp:version>917504</cp:version>
</cp:coreProperties>
</file>