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0E" w:rsidRPr="0085410E" w:rsidRDefault="003F05EC" w:rsidP="0085410E">
      <w:pPr>
        <w:spacing w:after="0" w:line="240" w:lineRule="auto"/>
        <w:contextualSpacing/>
        <w:jc w:val="both"/>
        <w:rPr>
          <w:rFonts w:ascii="Times New Roman" w:hAnsi="Times New Roman"/>
          <w:sz w:val="28"/>
          <w:szCs w:val="28"/>
        </w:rPr>
      </w:pPr>
      <w:bookmarkStart w:id="0" w:name="_GoBack"/>
      <w:bookmarkEnd w:id="0"/>
      <w:r w:rsidRPr="0085410E">
        <w:rPr>
          <w:rFonts w:ascii="Times New Roman" w:hAnsi="Times New Roman"/>
          <w:sz w:val="28"/>
          <w:szCs w:val="28"/>
        </w:rPr>
        <w:tab/>
      </w:r>
      <w:r w:rsidR="0085410E" w:rsidRPr="0085410E">
        <w:rPr>
          <w:rFonts w:ascii="Times New Roman" w:hAnsi="Times New Roman"/>
          <w:sz w:val="28"/>
          <w:szCs w:val="28"/>
        </w:rPr>
        <w:tab/>
        <w:t>Порядок оформления больничного</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лечении заболеваний (травм), отравлений и иных состояний, связанных с временной потерей гражданином трудоспособности, лечащий врач единолично формирует в виде электронного документа или в отдельных случаях выдает в форме документа на бумажном носителе больничный на срок до 15 календарных дней включительно, фельдшер либо зубной врач - на срок до 10 календарных дней включительно. Формирование (выдача) и продление листка нетрудоспособности на больший срок (но не более чем на 15 календарных дней единовременно) осуществляются по решению врачебной комиссии (ч. 2, 3 ст. 59 Закона от 21.11.2011 N 323-ФЗ; п. п. 20, 21 Приложения к Приказу Минздрава России от 23.11.2021 N 1089н, далее - Приложение).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Для выхода </w:t>
      </w:r>
      <w:proofErr w:type="gramStart"/>
      <w:r w:rsidRPr="0085410E">
        <w:rPr>
          <w:rFonts w:ascii="Times New Roman" w:hAnsi="Times New Roman"/>
          <w:sz w:val="28"/>
          <w:szCs w:val="28"/>
        </w:rPr>
        <w:t>на больничный работнику</w:t>
      </w:r>
      <w:proofErr w:type="gramEnd"/>
      <w:r w:rsidRPr="0085410E">
        <w:rPr>
          <w:rFonts w:ascii="Times New Roman" w:hAnsi="Times New Roman"/>
          <w:sz w:val="28"/>
          <w:szCs w:val="28"/>
        </w:rPr>
        <w:t xml:space="preserve"> нужно обратиться за оформлением больничного листа. Формирование (выдача) и продление листка нетрудоспособности осуществляются после осмотра гражданина медицинским работником и записи данных о состоянии его здоровья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Больничный при амбулаторном лечении формируется (выдается) в день признания гражданина временно нетрудоспособным. При обращении за медицинской помощью после окончания рабочего времени (смены) работника, по его желанию, дата освобождения от работы в листке нетрудоспособности может быть указана со следующего календарного дня (п. п. 9, 12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выписке гражданина после оказания ему медицинской помощи в стационарных условиях (в условиях дневного стационара) формируется (выдается) больничный в день выписки из больницы, за весь период лечения (п. 14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при заболеваниях, профессиональных заболеваниях, травмах, в том числе полученных вследствие несчастного случая на производстве, гражданин лечится в амбулаторных условиях (то есть на приеме у врача или на дому), то больничный выдается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 (п. 23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длительного лечения медицинская организация по желанию гражданина формирует (выдает) новый листок нетрудоспособности (продолжение) и одновременно оформляет предыдущий больничный для назначения и выплаты пособия по временной нетрудоспособности (п. 16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Формирование (выдача) и продление больничного за прошедшие дни, когда гражданин не был освидетельствован медицинским работником, единолично лечащим врачом (фельдшером, зубным врачом) не допускаются. Такое возможно только по решению врачебной комиссии при обращении </w:t>
      </w:r>
      <w:r w:rsidRPr="0085410E">
        <w:rPr>
          <w:rFonts w:ascii="Times New Roman" w:hAnsi="Times New Roman"/>
          <w:sz w:val="28"/>
          <w:szCs w:val="28"/>
        </w:rPr>
        <w:lastRenderedPageBreak/>
        <w:t>гражданина в медицинскую организацию или посещении его медицинским работником на дому (п. 10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общем случае работник не обязан уведомлять работодателя об открытии больничного листа, если это не предусмотрено локальным нормативным актом работодателя и (или) трудовым договором. Вместе с тем работник обязан извещать руководителя об ухудшении состояния своего здоровья. При наличии судебного спора отсутствие такого уведомления может быть признано злоупотреблением правом со стороны работника, поэтому для минимизации рисков все же рекомендуем уведомлять работодателя об открытии больничного листа (ст. ст. 8, 21, 215 ТК РФ; п. 27 Постановления Пленума Верховного Суда РФ от 17.03.2004 N 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Информация об открытии, продлении, закрытии и аннулировании больничного направляется работодателю оператором информационной системы Фонда пенсионного и социального страхования РФ (далее - Фонд) (ч. 1, 4 ст. 18 Закона от 14.07.2022 N 236-ФЗ; п. 19,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21 Правил, утв. Постановлением Правительства РФ от 23.11.2021 N 2010).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Листок нетрудоспособности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В личном кабинете гражданина на сайте Фонда, доступ к которому возможен при наличии логина и пароля к Единому порталу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а также на самом Портале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доступна информация об электронных больничных. На Едином портале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запущен сервис электронных листков нетрудоспособности, с помощью которого можно получать оповещения об их открытии, продлении, закрытии и других изменениях (ч. 3.2 ст. 59 Закона N 323-ФЗ; ч. 6 ст. 13 Закона от 29.12.2006 N 255-ФЗ; п. 20 Правил, утв. Постановлением Правительства РФ от 16.12.2017 N 1567; п. 1 Приложения; Информация ФСС РФ от 07.07.2017; Информация </w:t>
      </w:r>
      <w:proofErr w:type="spellStart"/>
      <w:r w:rsidRPr="0085410E">
        <w:rPr>
          <w:rFonts w:ascii="Times New Roman" w:hAnsi="Times New Roman"/>
          <w:sz w:val="28"/>
          <w:szCs w:val="28"/>
        </w:rPr>
        <w:t>Минкомсвязи</w:t>
      </w:r>
      <w:proofErr w:type="spellEnd"/>
      <w:r w:rsidRPr="0085410E">
        <w:rPr>
          <w:rFonts w:ascii="Times New Roman" w:hAnsi="Times New Roman"/>
          <w:sz w:val="28"/>
          <w:szCs w:val="28"/>
        </w:rPr>
        <w:t xml:space="preserve"> России).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Следовательно, оформить больничный в бумажной форме можно только в установленных случаях, а именно - 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 2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Чтобы оформить больничный в электронной форме, гражданин должен предъявить документ, удостоверяющий личность, а также СНИЛС. Выдача листков нетрудоспособности на бумажном носителе осуществляется при предъявлении документа, удостоверяющего личность (п. 5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на момент наступления временной нетрудоспособности работник работает у нескольких работодателей, то формируется один электронный листок нетрудоспособности (п. п. 6 - 8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наличии ошибок в больничном (до дня выплаты на его основании пособия по временной нетрудоспособности, по беременности и родам), а </w:t>
      </w:r>
      <w:r w:rsidRPr="0085410E">
        <w:rPr>
          <w:rFonts w:ascii="Times New Roman" w:hAnsi="Times New Roman"/>
          <w:sz w:val="28"/>
          <w:szCs w:val="28"/>
        </w:rPr>
        <w:lastRenderedPageBreak/>
        <w:t>также в случаях изменения причины нетрудоспособности (п. п. 67, 76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медицинская организация по решению врачебной комиссии направляет сведения в Фонд в целях формирования дубликата электронного больничного взамен ранее сформированного - если ошибка допущена в электронном больничном;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по решению врачебной комиссии взамен ранее выданного листка нетрудоспособности оформляется дубликат листка нетрудоспособности - если ошибка допущена в больничном листе, оформленном на бумажном носителе.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Также существуют отличия в порядке заполнения листка временной нетрудоспособности в бумажном и электронном виде (разд. IX, X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Записи в больничном на бумажном носителе выполняются на русском языке печатными заглавными буквами чернилами черного цвета либо с применением печатающих устройств. Допускается использование </w:t>
      </w:r>
      <w:proofErr w:type="spellStart"/>
      <w:r w:rsidRPr="0085410E">
        <w:rPr>
          <w:rFonts w:ascii="Times New Roman" w:hAnsi="Times New Roman"/>
          <w:sz w:val="28"/>
          <w:szCs w:val="28"/>
        </w:rPr>
        <w:t>гелевой</w:t>
      </w:r>
      <w:proofErr w:type="spellEnd"/>
      <w:r w:rsidRPr="0085410E">
        <w:rPr>
          <w:rFonts w:ascii="Times New Roman" w:hAnsi="Times New Roman"/>
          <w:sz w:val="28"/>
          <w:szCs w:val="28"/>
        </w:rPr>
        <w:t>, капиллярной или перьевой ручки. Не допускается использование шариковой ручки. Записи в больничном не должны заходить за пределы границ ячеек, предусмотренных для внесения соответствующих записей (п. 76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Врач медицинской организации заполняет (п. п. 77, 78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корешок бланка больничного;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раздел "Заполняется врачом медицинской организации".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указанном разделе содержится в том числе таблица "Освобождение от работы", где в графе "С какого числа" указывается дата (число, месяц и год), с которой гражданин освобожден от работы, а в графе "По какое число" указывается дата (число, месяц и год) (включительно), по которую гражданин освобожден от работы (п. 81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амбулаторном лечении больничный продлевается со дня, следующего за днем осмотра гражданина врачом. Каждое продление больничного записывается в отдельные строки граф таблицы.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оформлении дубликата больничного в графах "С какого числа" и "По какое число" таблицы "Освобождение от работы" одной строкой указывается весь период нетрудоспособности.</w:t>
      </w: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оформлении больничного по решению врачебной комиссии, в том числе за прошедшее время, в графах "Должность врача" и "Фамилия и инициалы врача" указываются фамилия, инициалы и должность лечащего врача (фельдшера, зубного врача), а также фамилия и инициалы председателя врачебной комиссии после каждого случая, рассматриваемого на врачебной комиссии (п. 81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Раздел "Заполняется работодателем", в котором указывается, в частности, место работы - наименование организации, ИНН (при наличии), </w:t>
      </w:r>
      <w:r w:rsidRPr="0085410E">
        <w:rPr>
          <w:rFonts w:ascii="Times New Roman" w:hAnsi="Times New Roman"/>
          <w:sz w:val="28"/>
          <w:szCs w:val="28"/>
        </w:rPr>
        <w:lastRenderedPageBreak/>
        <w:t>страховой стаж, СНИЛС, средний заработок для исчисления пособия, заполняет его работодатель (п. 86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в больничном, выданном на бланке, в разделе "Заполняется работодателем" допущена ошибка, она аккуратно зачеркивается. Правильная запись взамен ошибочной вносится на оборотную сторону бланка больничного, подтверждается записью "Исправленному верить", подписью и печатью работодателя (при ее наличии). Не допускается исправление ошибок с помощью корректирующего или иного аналогичного средства (п. 85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 больничном, выданном на бумажном носителе, предусмотрено проставление трех печатей (п. 76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печати медицинской организации;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печати учреждения медико-социальной экспертизы (при направлении на медико-социальную экспертизу);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печати работодателя (при наличии такой печати).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Печати могут выступать за пределы специально отведенного места, но не должны попадать на ячейки информационного поля бланка листка нетрудоспособности. Оттиск печати медицинской организации должен соответствовать наименованию, указанному в уставе медицинской организации (п. 76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Листок нетрудоспособности закрывается той же медицинской организацией, которой он был открыт, а при направлении (обращении) на лечение в другую медицинскую организацию (другое структурное подразделение медицинской организации) - указанной организацией (другим структурным подразделением медицинской организации) (п. 13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закрытии больничного в строке "Приступить к работе" указывается дата со следующего дня восстановления трудоспособности после осмотра и признания гражданина трудоспособным (п. п. 72, 82 Приложения).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После закрытия больничного листа работник должен выйти на работу в день, указанный в больничном листе в строке "Приступить к работе", если он является для него рабочим, либо в ближайший следующий за ним рабочий для работника день.</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Обратиться за пособием надо не позднее шести месяцев со дня восстановления трудоспособности. При наличии уважительных причин пособие может быть назначено по истечении указанного срока (ч. 1, 3 ст. 12 Закона N 255-ФЗ).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Работодатель назначает и выплачивает пособие по временной нетрудоспособности за первые три дня болезни. Выплата осуществляется в ближайший после назначения пособия день выплаты заработной платы. По общему правилу, за оставшийся период пособие выплачивает территориальный орган Фонда в течение 10 рабочих дней со дня представления ему сведений и документов, которые необходимы для назначения и выплаты пособия. Пособие выплачивается через организацию </w:t>
      </w:r>
      <w:r w:rsidRPr="0085410E">
        <w:rPr>
          <w:rFonts w:ascii="Times New Roman" w:hAnsi="Times New Roman"/>
          <w:sz w:val="28"/>
          <w:szCs w:val="28"/>
        </w:rPr>
        <w:lastRenderedPageBreak/>
        <w:t>федеральной почтовой связи, кредитную либо иную организацию, указанную в сведениях о застрахованном лице (ч. 25 ст. 13, ч. 1 ст. 14.1, ч. 1 ст. 15 Закона N 255-ФЗ; п. п. 1, 2, 7 Особенностей, утв. Приказом Минтруда России от 29.10.2021 N 777н).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Работник вправе самостоятельно обратиться в территориальный орган Фонда по месту регистрации работодателя за назначением и выплатой пособия, а также за оказанием бесплатной помощи, необходимой для получения пособия, в случае прекращения работодателем деятельности, в том числе при невозможности установления его фактического местонахождения. Обратиться можно в том числе в электронной форме с использованием Единого портала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(п. 8 Правил N 2010; п. 1 Порядка, утв. Приказом Минтруда России от 18.10.2021 N 726н).</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Отсрочка от призыва на военную службу</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Отсрочку от призыва на военную службу могут получить студенты, обучающиеся по очной форме обучения в аккредитованных образовательных организациях по программам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xml:space="preserve">, </w:t>
      </w:r>
      <w:proofErr w:type="spellStart"/>
      <w:r w:rsidRPr="0085410E">
        <w:rPr>
          <w:rFonts w:ascii="Times New Roman" w:hAnsi="Times New Roman"/>
          <w:sz w:val="28"/>
          <w:szCs w:val="28"/>
        </w:rPr>
        <w:t>специалитета</w:t>
      </w:r>
      <w:proofErr w:type="spellEnd"/>
      <w:r w:rsidRPr="0085410E">
        <w:rPr>
          <w:rFonts w:ascii="Times New Roman" w:hAnsi="Times New Roman"/>
          <w:sz w:val="28"/>
          <w:szCs w:val="28"/>
        </w:rPr>
        <w:t>, магистратуры, среднего профессионального образования. Для этого призывной комиссии предоставляется справка из вуза.</w:t>
      </w: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Отсрочка от призыва на военную службу - это временное освобождение от призыва. Отсрочка от призыва на военную службу прекращается с утратой оснований для ее предоставления. Гражданин, который имеет отсрочку от призыва, остается призывником и подлежит призыву при утрате оснований для предоставления такой отсрочки.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Право на отсрочку от призыва на военную службу в связи с получением образования имеют студенты вузов и иных образовательных организаций, обучающиеся по очной форме обучения по имеющим государственную аккредитацию программам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 ст. 24 Закона от 28.03.1998 N 53-ФЗ; п. 3 ч. 1 ст. 33 Закона от 29.12.2012 N 273-ФЗ):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xml:space="preserve">,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r>
      <w:proofErr w:type="spellStart"/>
      <w:r w:rsidRPr="0085410E">
        <w:rPr>
          <w:rFonts w:ascii="Times New Roman" w:hAnsi="Times New Roman"/>
          <w:sz w:val="28"/>
          <w:szCs w:val="28"/>
        </w:rPr>
        <w:t>специалитета</w:t>
      </w:r>
      <w:proofErr w:type="spellEnd"/>
      <w:r w:rsidRPr="0085410E">
        <w:rPr>
          <w:rFonts w:ascii="Times New Roman" w:hAnsi="Times New Roman"/>
          <w:sz w:val="28"/>
          <w:szCs w:val="28"/>
        </w:rPr>
        <w:t xml:space="preserve">,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w:t>
      </w:r>
      <w:proofErr w:type="spellStart"/>
      <w:r w:rsidRPr="0085410E">
        <w:rPr>
          <w:rFonts w:ascii="Times New Roman" w:hAnsi="Times New Roman"/>
          <w:sz w:val="28"/>
          <w:szCs w:val="28"/>
        </w:rPr>
        <w:t>специалитета</w:t>
      </w:r>
      <w:proofErr w:type="spellEnd"/>
      <w:r w:rsidRPr="0085410E">
        <w:rPr>
          <w:rFonts w:ascii="Times New Roman" w:hAnsi="Times New Roman"/>
          <w:sz w:val="28"/>
          <w:szCs w:val="28"/>
        </w:rPr>
        <w:t>;</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 xml:space="preserve">магистратуры, если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 в период освоения указанных образовательных программ, но не свыше сроков получения высшего образования по программам магистратуры;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образовательными стандартами.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обучении по указанным программам отсрочка предоставляется только один раз, за исключением предоставления первой отсрочки при обучении по программе </w:t>
      </w:r>
      <w:proofErr w:type="spellStart"/>
      <w:r w:rsidRPr="0085410E">
        <w:rPr>
          <w:rFonts w:ascii="Times New Roman" w:hAnsi="Times New Roman"/>
          <w:sz w:val="28"/>
          <w:szCs w:val="28"/>
        </w:rPr>
        <w:t>бакалавриата</w:t>
      </w:r>
      <w:proofErr w:type="spellEnd"/>
      <w:r w:rsidRPr="0085410E">
        <w:rPr>
          <w:rFonts w:ascii="Times New Roman" w:hAnsi="Times New Roman"/>
          <w:sz w:val="28"/>
          <w:szCs w:val="28"/>
        </w:rPr>
        <w:t>. В этом случае можно повторно воспользоваться правом на отсрочку при обучении по программе магистратуры (</w:t>
      </w:r>
      <w:proofErr w:type="spellStart"/>
      <w:r w:rsidRPr="0085410E">
        <w:rPr>
          <w:rFonts w:ascii="Times New Roman" w:hAnsi="Times New Roman"/>
          <w:sz w:val="28"/>
          <w:szCs w:val="28"/>
        </w:rPr>
        <w:t>абз</w:t>
      </w:r>
      <w:proofErr w:type="spellEnd"/>
      <w:r w:rsidRPr="0085410E">
        <w:rPr>
          <w:rFonts w:ascii="Times New Roman" w:hAnsi="Times New Roman"/>
          <w:sz w:val="28"/>
          <w:szCs w:val="28"/>
        </w:rPr>
        <w:t xml:space="preserve">. 10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 ст. 24 Закона N 53-ФЗ).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Право на отсрочку от призыва на военную службу сохраняется за гражданином: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получившим во время освоения образовательной программы академический отпуск;</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2)</w:t>
      </w:r>
      <w:r w:rsidRPr="0085410E">
        <w:rPr>
          <w:rFonts w:ascii="Times New Roman" w:hAnsi="Times New Roman"/>
          <w:sz w:val="28"/>
          <w:szCs w:val="28"/>
        </w:rPr>
        <w:tab/>
        <w:t>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Право на отсрочку от призыва на военную службу сохраняется за гражданином по указанным основаниям только при условии, если общий срок, на который гражданину была предоставлена отсрочка от призыва на военную службу для обучения в этой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Право на отсрочку от призыва на военную службу сохраняется также за гражданином,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например, за неуспеваемость), если срок, на который гражданину была предоставлена отсрочка от призыва на военную службу для обучения в этой образовательной организации, не увеличивается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 ст. 24 Закона от 28.03.1998 N 53-ФЗ).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Для решения вопроса о предоставлении студенту отсрочки от призыва на военную службу призывной комиссии необходимо представить справку из вуза, подтверждающую, что студент действительно обучается по очной форме обучения в этом вузе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17(4) Положения, утв. Постановлением Правительства РФ от 11.11.2006 N 663).</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Проверка подлинности паспорта гражданина РФ</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Паспорт является основным документом, удостоверяющим личность гражданина РФ (п. 1 Положения, утв. Постановлением Правительства РФ от 08.07.1997 N 828). Его получают в строгом соответствии с установленными правилами. Содержащаяся в паспорте информация должна поддерживаться в актуальном состоянии, чтобы личность гражданина могла быть установлена достоверно.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Паспорт гражданина РФ, выданный в нарушение установленного порядка или оформленный на утраченном (похищенном) бланке паспорта, подлежит изъятию органом внутренних дел РФ, выявившим такой паспорт (п. 7 Постановления Правительства РФ N 828).</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Паспорт признается выданным в нарушение установленного порядка и подлежащим изъятию, если он (п. 6 Положения, утв. Постановлением N 828; п. 2 Положения, утв. Приказом ФМС России от 11.03.2014 N 178; п. 2 ч. 1 ст. 35 Закона от 03.07.2016 N 305-ФЗ):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оформлен на основании недостоверных сведений, указанных заявителем, или поддельных документов, представленных заявителем для выдачи или замены паспорта;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выдан лицу, в отношении которого установлен факт отсутствия гражданства РФ или у которого уже имеется действительный паспорт;</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выдан лицу, в отношении которого уполномоченный орган отменил решение о приобретении гражданства РФ на основании судебного постановления об установлении факта использования подложных документов или сообщения заведомо ложных сведений при приобретении гражданства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содержит сведения, отметки или записи, не предусмотренные НПА (например, отметки о пересечении государственной границы).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того, не установлены нормативно, но применяются на практике, в частности для решения вопроса о привлечении к административной ответственности по ст. 19.15 КоАП РФ, следующие основания для признания паспорта недействительным (п. п. 7, 12, 15 Положения N 828; Вопрос 15 в Обзоре судебной практики Верховного Суда РФ от 01.03.2006; Постановление Верховного Суда РФ от 29.12.2015 N 71-АД15-10):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истечение срока действия паспорта в связи с достижением гражданином 20-летнего и 45-летнего возраста (такой паспорт является действительным до дня оформления нового паспорта, но не более чем 90 дней после дня достижения соответствующего возраста);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 xml:space="preserve">изменение гражданином Ф.И.О. и </w:t>
      </w:r>
      <w:proofErr w:type="spellStart"/>
      <w:r w:rsidRPr="0085410E">
        <w:rPr>
          <w:rFonts w:ascii="Times New Roman" w:hAnsi="Times New Roman"/>
          <w:sz w:val="28"/>
          <w:szCs w:val="28"/>
        </w:rPr>
        <w:t>необращение</w:t>
      </w:r>
      <w:proofErr w:type="spellEnd"/>
      <w:r w:rsidRPr="0085410E">
        <w:rPr>
          <w:rFonts w:ascii="Times New Roman" w:hAnsi="Times New Roman"/>
          <w:sz w:val="28"/>
          <w:szCs w:val="28"/>
        </w:rPr>
        <w:t xml:space="preserve"> в установленный срок за заменой паспорта.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Учет признанных недействительными паспортов гражданина РФ ведет МВД России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49 п. 11 Положения, утв. Указом Президента РФ от 21.12.2016 N 699).</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Подлинность паспорта гражданина РФ можно проверить на официальном сайте Главного управления по вопросам миграции МВД </w:t>
      </w:r>
      <w:r w:rsidRPr="0085410E">
        <w:rPr>
          <w:rFonts w:ascii="Times New Roman" w:hAnsi="Times New Roman"/>
          <w:sz w:val="28"/>
          <w:szCs w:val="28"/>
        </w:rPr>
        <w:lastRenderedPageBreak/>
        <w:t>России в сети Интернет при помощи сервиса "Проверка по списку недействительных российских паспортов". Однако полученная информация носит справочный характер, поэтому для получения юридически значимой официальной информации относительно подлинности паспорта рекомендуется письменно обратиться в орган в сфере внутренних дел по месту выдачи паспорта гражданина РФ. Срок рассмотрения обращения - 30 дней со дня его регистрации (п. п. 2, 7.1, 21, 91 Инструкции, утв. Приказом МВД России от 12.09.2013 N 707).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Подлинный паспорт должен соответствовать, в частности, следующим признакам (п. 2 Описания, утв. Постановлением N 828):</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бланк паспорта должен быть сшит по всей длине корешка двухцветной нитью с пунктирным свечением в ультрафиолетовом излучении;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бланк паспорта изготавливается с использованием специальной бумаги, содержащей три вида защитных волокон;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внутренние страницы бланка паспорта имеют видимое на просвет изображение общего водяного знака, содержащего при рассмотрении в проходящем свете объемные начертания букв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в бумагу 19-й и 20-й страниц бланка паспорта введена защитная металлизированная нить, меняющая цвет в зависимости от угла зрения, при этом отдельные участки нити видны на поверхности 19-й страницы;</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на 5, 7, 9, 11, 13, 15 и 19-й страницах напечатано выполненное стилизованными буквами в орнаментальном оформлении слово "Россия";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6)</w:t>
      </w:r>
      <w:r w:rsidRPr="0085410E">
        <w:rPr>
          <w:rFonts w:ascii="Times New Roman" w:hAnsi="Times New Roman"/>
          <w:sz w:val="28"/>
          <w:szCs w:val="28"/>
        </w:rPr>
        <w:tab/>
        <w:t>соответствовать иным признакам, в том числе иметь правильную нумерацию бланка паспорта и ее расположение, обложку и рисунок и т.д.</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Кроме того, в бланке паспорта могут быть применены специально разработанные вшиваемые или вкладываемые элементы, предназначенные для повышения сохранности вносимых записей или для защиты бланка и произведенных в нем записей от подделок.</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Приведенный перечень оснований для проверки подлинности паспорта не является исчерпывающим.</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Административный арест за нарушение ПДД</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Административный арест за нарушение ПДД представляет собой содержание нарушителя в условиях изоляции и устанавливается на срок до 15 суток (п. 6 ч. 1 ст. 3.2, ч. 1 ст. 3.9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Водителя могут привлечь к ответственности в виде административного ареста за следующие правонарушения: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Управление транспортным средством водителем, который лишен прав. Срок ареста может составлять до 15 суток (ч. 2 ст. 12.7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Управление транспортным средством водителем в состоянии алкогольного или наркотического опьянения и не имеющим водительского удостоверения (если такие действия не содержат уголовно наказуемого деяния). Срок ареста может составлять 10 - 15 суток (ч. 3 ст. 12.8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Невыполнение водителем, не имеющим водительского удостоверения или лишенным водительских прав, требования уполномоченного должностного лица о прохождении медицинского освидетельствования на состояние опьянения. Срок ареста может составлять 10 - 15 суток (ч. 2 ст. 12.26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Оставление водителем места ДТП, участником которого он являлся (при отсутствии признаков уголовно наказуемого деяния). Срок ареста может составлять до 15 суток (ч. 2 ст. 12.27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Неуплата штрафов ГИБДД, за исключением штрафов с автоматических камер. Срок ареста может составлять до 15 суток (ч. 1 ст. 20.25, п. 3 Примечания к ст. 20.25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 основании протокола об административном правонарушении возбуждается дело об административном правонарушении. По результатам рассмотрения этого дела выносится постановление, которым правонарушителя привлекают к административной ответственности (п. 3 ч. 4 ст. 28.1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Составлять протокол по указанным выше правонарушениям уполномочены сотрудники ГИБДД. Исключение - правонарушения, связанные с уклонением от уплаты штрафов ГИБДД, решение по которым вынес суд. Так, в частности, сотрудники ГИБДД вправе составить протокол об административном правонарушении за неуплату штрафа по тем делам, по которым сами выносили постановление о привлечении к ответственности. Если же наказание (штраф) назначалось судом, то протокол может составить только судебный пристав-исполнитель (ч. 1 ст. 20.25, п. 12 ч. 5 ст. 28.3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Протокол об административном правонарушении, совершение которого влечет административный арест, передается на рассмотрение судье сразу после его составления (ч. 2 ст. 28.8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составить протокол на месте выявления административного правонарушения невозможно, сотрудники полиции (ГИБДД) принудительно препровождают водителя в орган внутренних дел (полицию) (п. 1 ч. 1 ст. 27.2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Административное задержание, то есть кратковременное ограничение свободы, может быть применено на срок не более 48 часов и только если это необходимо для обеспечения правильного и своевременного рассмотрения дела, исполнения постановления по делу (ст. 27.3, ч. 3 ст. 27.5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Сотрудники полиции (ГИБДД) вправе задержать гражданина и доставить его в полицию при выявлении административного правонарушения, по которому сотрудники полиции (ГИБДД) имеют полномочия составлять протоколы,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w:t>
      </w:r>
      <w:proofErr w:type="gramStart"/>
      <w:r w:rsidRPr="0085410E">
        <w:rPr>
          <w:rFonts w:ascii="Times New Roman" w:hAnsi="Times New Roman"/>
          <w:sz w:val="28"/>
          <w:szCs w:val="28"/>
        </w:rPr>
        <w:t>например</w:t>
      </w:r>
      <w:proofErr w:type="gramEnd"/>
      <w:r w:rsidRPr="0085410E">
        <w:rPr>
          <w:rFonts w:ascii="Times New Roman" w:hAnsi="Times New Roman"/>
          <w:sz w:val="28"/>
          <w:szCs w:val="28"/>
        </w:rPr>
        <w:t xml:space="preserve"> судебных приставов-исполнителей (п. 1 ч. 1 ст. 27.2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 доставлении гражданина составляется протокол или делается запись в протоколе об административном правонарушении или в протоколе об административном задержании. Копия протокола о доставлении вручается гражданину по его просьбе (ч. 3 ст. 27.2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Об административном задержании гражданина также составляется протокол. В нем указываются: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дата и место составления;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должность, фамилия и инициалы составившего лица;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сведения о задержанном;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время, место и мотивы задержания.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Протокол об административном задержании подписывают составившее его должностное лицо и задержанный гражданин. Если задержанный отказывается подписать протокол, в протоколе об административном задержании делается соответствующая запись. Копия протокола вручается задержанному по его просьбе (ч. 2 ст. 27.4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 просьбе задержанного о месте его нахождения в кратчайший срок уведомляют родственников, администрацию по месту его работы (учебы), а также защитника (ч. 3 ст. 27.3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Задержанному обязательно разъясняются его права и обязанности, о чем делается запись в протоколе об административном задержании (ч. 5 ст. 27.3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описанных выше обеспечительных мер в зависимости от конкретного правонарушения могут также применяться: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личный досмотр задержанного и досмотр находящихся при нем вещей (ст. 27.7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досмотр транспортного средства (ст. 27.9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изъятие вещей и документов (ст. 27.10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(ст. 27.12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задержание транспортного средства (ст. 27.13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Вынести постановление о привлечении к ответственности в виде административного ареста по итогам рассмотрения дела об </w:t>
      </w:r>
      <w:r w:rsidRPr="0085410E">
        <w:rPr>
          <w:rFonts w:ascii="Times New Roman" w:hAnsi="Times New Roman"/>
          <w:sz w:val="28"/>
          <w:szCs w:val="28"/>
        </w:rPr>
        <w:lastRenderedPageBreak/>
        <w:t>административном правонарушении, возбужденного по указанным выше основаниям, может только судья (ч. 1 ст. 23.1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Дело об административном правонарушении, за которое предусмотрен административный арест, суд рассматривает в день получения протокола о правонарушении и других материалов дела. Дело об административном правонарушении в отношении гражданина, подвергнутого административному задержанию, рассматривается не позднее 48 часов с момента его задержания (ч. 4 ст. 29.6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Дело рассматривается по месту совершения правонарушения. По ходатайству гражданина, в отношении которого ведется производство по делу об административном правонарушении, дело может быть рассмотрено по месту его жительства (ч. 1 ст. 29.5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Гражданин, в отношении которого ведется производство по делу,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предусмотренными законодательством об административных правонарушениях (ч. 1 ст. 25.1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Присутствие гражданина, в отношении которого ведется производство по делу об административном правонарушении, влекущем административный арест, на суде обязательно (ч. 3 ст. 25.1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После того как судья вынес постановление об административном аресте, задержанный становится арестованным.</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Административный арест не может применяться к некоторым категориям граждан, в частности беременным женщинам, женщинам, имеющим детей в возрасте до 14 лет, лицам, не достигшим возраста 18 лет, инвалидам I и II групп и военнослужащим (ч. 2 ст. 3.9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После вынесения судьей постановления об административном аресте оно исполняется органами внутренних дел немедленно.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Место, в котором содержится под стражей гражданин, определяют органы внутренних дел.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Срок административного задержания засчитывается в срок административного ареста (ч. 1, 2, 3 ст. 32.8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Судья может приостановить исполнение постановления об административном аресте на срок до семи суток или прекратить его в следующих случаях:</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арестованный представил письменное заявление о возникновении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ему или его семье значительный материальный ущерб);</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имеется медицинское заключение о наличии у арестованного заболевания, травмы или увечья, препятствующих отбыванию административного ареста.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При этом срок приостановления административного ареста не засчитывается в срок отбывания административного ареста (ч. 5 ст. 32.8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гражданин, в отношении которого вынесено постановление об административном аресте, с ним не согласен, он вправе его обжаловать в течение десяти суток со дня вручения ему или получения копии постановления. Жалоба подается судье, вынесшему постановление. Судья, в свою очередь, направляет жалобу в вышестоящий суд. Срок рассмотрения жалобы - сутки с момента ее подачи. Решение по жалобе направляется должностному лицу органа, исполняющего наказание, а также доводится до сведения арестанта (ч. 2 ст. 30.2, ч. 1 ст. 30.3, ч. 3 ст. 30.5, ч. 3 ст. 30.8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Порядок проведения освидетельствования на состояние алкогольного опьянения</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 1 марта 2023 г. вступают в силу новые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а Постановление Правительства РФ от 26.06.2008 N 475 утрачивает силу. См. Постановление Правительства РФ от 21.10.2022 N 1882.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Если водитель согласен пройти освидетельствование на месте, инспектор ДПС проводит эту процедуру с помощью мобильного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xml:space="preserve"> с разъяснением водителю его прав и порядка прохождения освидетельствования. Освидетельствование проводится в присутствии двух понятых либо с применением видеозаписи. При несогласии водителя с показаниями прибора водителю предлагается пройти медицинское освидетельствование.</w:t>
      </w:r>
      <w:r w:rsidRPr="0085410E">
        <w:rPr>
          <w:rFonts w:ascii="Times New Roman" w:hAnsi="Times New Roman"/>
          <w:sz w:val="28"/>
          <w:szCs w:val="28"/>
        </w:rPr>
        <w:tab/>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Административная ответственность за вождение в состоянии опьянения и связанные с этим нарушения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(ст. 12.8 КоАП РФ и Примечание к ней; п. 11 Постановления Пленума Верховного Суда РФ от 25.06.2019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Освидетельствование на состояние опьянения - установленная и регламентированная законодательством процедура для объективного инструментального определения у водителя состояния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Освидетельствование бывает двух видов:</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 xml:space="preserve">освидетельствование на состояние алкогольного опьянения (ОСАО). Применяется для определения только алкогольного опьянения, осуществляется с помощью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xml:space="preserve"> по наличию паров алкоголя в выдыхаемом водителем воздухе и проводится непосредственно инспектором ГИБДД;</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медицинское освидетельствование на состояние опьянения (МОСО). Используется для установления всех возможных видов опьянения и проводится только в специализированных медицинских учреждениях, имеющих соответствующую лицензию, в том числе с применением специально оборудованных для этой цели передвижных пунктов (автомобилей) для проведения медицинского освидетельствования на состояние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Водитель подлежит освидетельствованию, если есть основания полагать, что он находится в состоянии опьянения, либо в отношении водителя вынесено определение о возбуждении дела об административном </w:t>
      </w:r>
      <w:r w:rsidRPr="0085410E">
        <w:rPr>
          <w:rFonts w:ascii="Times New Roman" w:hAnsi="Times New Roman"/>
          <w:sz w:val="28"/>
          <w:szCs w:val="28"/>
        </w:rPr>
        <w:lastRenderedPageBreak/>
        <w:t>правонарушении, повлекшем причинение легкого или средней тяжести вреда здоровью потерпевшего (ст. 12.24 КоАП РФ; п. 2 Правил, утв. Постановлением Правительства РФ от 26.06.2008 N 475).</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Достаточным основанием полагать, что водитель находится в состоянии опьянения, является наличие одного или нескольких следующих признаков (п. 3 Правил; п. 6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запах алкоголя изо 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неустойчивость позы и шаткость походки;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нарушение речи;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резкое изменение окраски кожных покровов лица;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поведение, не соответствующее обстановке.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Этот список является исчерпывающим и расширительному толкованию не подлежит.</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При наличии у инспектора ГИБДД достаточных оснований полагать, что водитель находится в состоянии алкогольного опьянения, водитель отстраняется от управления автомобилем. Отстранение происходит в присутствии двух понятых либо с применением видеозаписи (ч. 1, 2 ст. 27.12 КоАП РФ; </w:t>
      </w:r>
      <w:proofErr w:type="spellStart"/>
      <w:r w:rsidRPr="0085410E">
        <w:rPr>
          <w:rFonts w:ascii="Times New Roman" w:hAnsi="Times New Roman"/>
          <w:sz w:val="28"/>
          <w:szCs w:val="28"/>
        </w:rPr>
        <w:t>абз</w:t>
      </w:r>
      <w:proofErr w:type="spellEnd"/>
      <w:r w:rsidRPr="0085410E">
        <w:rPr>
          <w:rFonts w:ascii="Times New Roman" w:hAnsi="Times New Roman"/>
          <w:sz w:val="28"/>
          <w:szCs w:val="28"/>
        </w:rPr>
        <w:t>. 3 п. 223, п. 224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применения видеозаписи процессуальные действия совершаются в отсутствие понятых, о чем делается запись в протоколе об отстранении от управления транспортным средством. В указанном протоколе также отражаются дата, время, место, основания и обстоятельства отстранения. Материалы, полученные при совершении процессуальных действий с применением видеозаписи, прилагаются к протоколу. Копия протокола вручается водителю (ч. 6 ст. 25.7, ч. 3, 4 ст. 27.12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 случае согласия водителя на прохождение ОСАО на месте (либо на ближайшем посту ГИБДД) инспектор ДПС проводит эту процедуру с помощью мобильного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имеющего функцию записи результатов освидетельствования на бумажный носитель. Освидетельствование проводится должностным лицом в присутствии двух понятых либо с применением видеозаписи (ч. 6 ст. 25.7, ч. 2 ст. 27.12 КоАП РФ; п. 228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Перед освидетельствованием водитель информируется о порядке освидетельствования с применением технического средства измерения, целостности клейма государственного </w:t>
      </w:r>
      <w:proofErr w:type="spellStart"/>
      <w:r w:rsidRPr="0085410E">
        <w:rPr>
          <w:rFonts w:ascii="Times New Roman" w:hAnsi="Times New Roman"/>
          <w:sz w:val="28"/>
          <w:szCs w:val="28"/>
        </w:rPr>
        <w:t>поверителя</w:t>
      </w:r>
      <w:proofErr w:type="spellEnd"/>
      <w:r w:rsidRPr="0085410E">
        <w:rPr>
          <w:rFonts w:ascii="Times New Roman" w:hAnsi="Times New Roman"/>
          <w:sz w:val="28"/>
          <w:szCs w:val="28"/>
        </w:rPr>
        <w:t>, наличии свидетельства о поверке или записи о поверке в паспорте технического средства измерения (п. 230 Регламента; п. 6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Техническое средство, с помощью которого производилось ОСАО, должно также обеспечивать возможность распечатки результатов освидетельствования на бумажном носителе (п. 5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Наличие или отсутствие состояния алкогольного опьянения у водителя определяет должностное лицо на основании показаний используемого специального технического средства с учетом его возможной суммарной погрешности измерений (п. 231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Результаты освидетельствования отражаются в акте освидетельствования установленной формы, содержащем согласие или несогласие водителя с результатами, а также данные понятых и их подписи, либо делается запись о применении видеозаписи, которая прилагается к акту. Копия акта должна быть вручена водителю. При несогласии водителя с показаниями прибора инспектор ДПС предложит ему пройти медицинское освидетельствование (ч. 6 ст. 25.7 КоАП РФ; п. 232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Составленный в установленном порядке акт является доказательством наличия у водителя состояния опьянения (п. 11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Если освидетельствование осуществлялось на ближайшем посту ДПС, при отрицательных результатах освидетельствования и отсутствии оснований для направления водителя на медицинское освидетельствование водитель должен быть доставлен к месту нахождения его автомобиля или к месту отстранения от управления им (п. 233 Административного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Медицинское освидетельствование водителя на состояние алкогольного опьянения осуществляется по направлению соответствующего должностного лица (п. 11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Законным основанием для направления на МОСО является (п. 10 Правил; п. 11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Отказ водителя от прохождения ОСАО на месте (на посту ДПС) (при наличии одного или нескольких установленных признаков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Несогласие водителя с результатами ОСАО.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Наличие достаточных оснований полагать, что водитель находится в состоянии опьянения (наличие одного или нескольких признаков опьянения), и отрицательном результате освидетельствования на состояние алкогольного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Направление на медицинское освидетельствование на состояние опьянения осуществляется должностным лицом в присутствии двух понятых либо с применением видеозаписи. В случае применения видеозаписи процессуальные действия совершаются в отсутствие понятых, о чем делается запись в протоколе о направлении на МОСО. Материалы, полученные при совершении процессуальных действий с применением видеозаписи, прилагаются к протоколу.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этом обстоятельства, послужившие основанием для направления водителя на МОСО, должны быть указаны в протоколе.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Копия протокола вручается водителю (ч. 2, 6 ст. 25.7, ч. 2, 4 ст. 27.12 КоАП РФ; п. 11 Правил; п. п. 235, 236 Регламента; п. 11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Медицинское освидетельствование проводится при наличии у лица, в отношении которого оно проводится, документа, удостоверяющего личность, а при отсутствии такого документа - на основании данных протокола о направлении лица на медицинское освидетельствование или письменного направления (заявления) самого </w:t>
      </w:r>
      <w:proofErr w:type="spellStart"/>
      <w:r w:rsidRPr="0085410E">
        <w:rPr>
          <w:rFonts w:ascii="Times New Roman" w:hAnsi="Times New Roman"/>
          <w:sz w:val="28"/>
          <w:szCs w:val="28"/>
        </w:rPr>
        <w:t>освидетельствуемого</w:t>
      </w:r>
      <w:proofErr w:type="spellEnd"/>
      <w:r w:rsidRPr="0085410E">
        <w:rPr>
          <w:rFonts w:ascii="Times New Roman" w:hAnsi="Times New Roman"/>
          <w:sz w:val="28"/>
          <w:szCs w:val="28"/>
        </w:rPr>
        <w:t xml:space="preserve">. МОСО проводит </w:t>
      </w:r>
      <w:r w:rsidRPr="0085410E">
        <w:rPr>
          <w:rFonts w:ascii="Times New Roman" w:hAnsi="Times New Roman"/>
          <w:sz w:val="28"/>
          <w:szCs w:val="28"/>
        </w:rPr>
        <w:lastRenderedPageBreak/>
        <w:t>психиатр-нарколог либо врач другой специальности, прошедший соответствующую подготовку (п. 7 Порядка; п. 15 Правил).</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МОСО включает в себя следующие осмотры врачами-специалистами, инструментальное и лабораторные исследования (п. 4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осмотр врачом-психиатром-наркологом либо другим врачом-специалистом (при невозможности осмотра врачом-специалистом - фельдшером), прошедшим специальную подготовку;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исследование выдыхаемого воздуха на наличие алкоголя;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 xml:space="preserve">определение наличия </w:t>
      </w:r>
      <w:proofErr w:type="spellStart"/>
      <w:r w:rsidRPr="0085410E">
        <w:rPr>
          <w:rFonts w:ascii="Times New Roman" w:hAnsi="Times New Roman"/>
          <w:sz w:val="28"/>
          <w:szCs w:val="28"/>
        </w:rPr>
        <w:t>психоактивных</w:t>
      </w:r>
      <w:proofErr w:type="spellEnd"/>
      <w:r w:rsidRPr="0085410E">
        <w:rPr>
          <w:rFonts w:ascii="Times New Roman" w:hAnsi="Times New Roman"/>
          <w:sz w:val="28"/>
          <w:szCs w:val="28"/>
        </w:rPr>
        <w:t xml:space="preserve"> веществ в моче;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4)</w:t>
      </w:r>
      <w:r w:rsidRPr="0085410E">
        <w:rPr>
          <w:rFonts w:ascii="Times New Roman" w:hAnsi="Times New Roman"/>
          <w:sz w:val="28"/>
          <w:szCs w:val="28"/>
        </w:rPr>
        <w:tab/>
        <w:t xml:space="preserve">исследование уровня </w:t>
      </w:r>
      <w:proofErr w:type="spellStart"/>
      <w:r w:rsidRPr="0085410E">
        <w:rPr>
          <w:rFonts w:ascii="Times New Roman" w:hAnsi="Times New Roman"/>
          <w:sz w:val="28"/>
          <w:szCs w:val="28"/>
        </w:rPr>
        <w:t>психоактивных</w:t>
      </w:r>
      <w:proofErr w:type="spellEnd"/>
      <w:r w:rsidRPr="0085410E">
        <w:rPr>
          <w:rFonts w:ascii="Times New Roman" w:hAnsi="Times New Roman"/>
          <w:sz w:val="28"/>
          <w:szCs w:val="28"/>
        </w:rPr>
        <w:t xml:space="preserve"> веществ в моче;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5)</w:t>
      </w:r>
      <w:r w:rsidRPr="0085410E">
        <w:rPr>
          <w:rFonts w:ascii="Times New Roman" w:hAnsi="Times New Roman"/>
          <w:sz w:val="28"/>
          <w:szCs w:val="28"/>
        </w:rPr>
        <w:tab/>
        <w:t xml:space="preserve">исследование уровня </w:t>
      </w:r>
      <w:proofErr w:type="spellStart"/>
      <w:r w:rsidRPr="0085410E">
        <w:rPr>
          <w:rFonts w:ascii="Times New Roman" w:hAnsi="Times New Roman"/>
          <w:sz w:val="28"/>
          <w:szCs w:val="28"/>
        </w:rPr>
        <w:t>психоактивных</w:t>
      </w:r>
      <w:proofErr w:type="spellEnd"/>
      <w:r w:rsidRPr="0085410E">
        <w:rPr>
          <w:rFonts w:ascii="Times New Roman" w:hAnsi="Times New Roman"/>
          <w:sz w:val="28"/>
          <w:szCs w:val="28"/>
        </w:rPr>
        <w:t xml:space="preserve"> веществ в крови.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Определение алкогольного опьянения во всех случаях начинается с первого исследования выдыхаемого воздуха на наличие алкоголя с помощью </w:t>
      </w:r>
      <w:proofErr w:type="spellStart"/>
      <w:r w:rsidRPr="0085410E">
        <w:rPr>
          <w:rFonts w:ascii="Times New Roman" w:hAnsi="Times New Roman"/>
          <w:sz w:val="28"/>
          <w:szCs w:val="28"/>
        </w:rPr>
        <w:t>алкотестера</w:t>
      </w:r>
      <w:proofErr w:type="spellEnd"/>
      <w:r w:rsidRPr="0085410E">
        <w:rPr>
          <w:rFonts w:ascii="Times New Roman" w:hAnsi="Times New Roman"/>
          <w:sz w:val="28"/>
          <w:szCs w:val="28"/>
        </w:rPr>
        <w:t>. После этого врачом-специалистом производится сбор жалоб, анамнеза и осмотр в целях выявления клинических признаков опьянения (изменение в психической деятельности, вегетативно-сосудистых реакциях, нарушение двигательной сферы) (п. 9 Порядка; Приложение N 2 к Порядку).</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Положительным результатом считается наличие абсолютного этилового спирта в концентрации, превышающей 0,16 миллиграмма на один литр выдыхаемого воздуха. 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При отрицательном результате первого исследования выдыхаемого воздуха повторное исследование на наличие алкоголя не проводится, о чем делается запись в акте медицинского освидетельствования (п. 11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Вне зависимости от результатов исследований выдыхаемого воздуха на наличие алкоголя осуществляется отбор биологического объекта (моча, кровь) для направления на химико-токсикологические исследования с целью определения средств (веществ) или их метаболитов (за исключением алкоголя), вызвавших опьянение (п. 12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Результаты МОСО и лабораторных исследований отражаются в акте, один из экземпляров которого должен быть вручен водителю. Акт может быть заполнен в письменной или в электронной форме (п. п. 8, 25, 27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На основании результатов проведенных исследований в акте указывается одно из вынесенных медицинских заключений (п. 14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1)</w:t>
      </w:r>
      <w:r w:rsidRPr="0085410E">
        <w:rPr>
          <w:rFonts w:ascii="Times New Roman" w:hAnsi="Times New Roman"/>
          <w:sz w:val="28"/>
          <w:szCs w:val="28"/>
        </w:rPr>
        <w:tab/>
        <w:t>установлено состояние опьянения;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2)</w:t>
      </w:r>
      <w:r w:rsidRPr="0085410E">
        <w:rPr>
          <w:rFonts w:ascii="Times New Roman" w:hAnsi="Times New Roman"/>
          <w:sz w:val="28"/>
          <w:szCs w:val="28"/>
        </w:rPr>
        <w:tab/>
        <w:t>состояние опьянения не установлено;</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3)</w:t>
      </w:r>
      <w:r w:rsidRPr="0085410E">
        <w:rPr>
          <w:rFonts w:ascii="Times New Roman" w:hAnsi="Times New Roman"/>
          <w:sz w:val="28"/>
          <w:szCs w:val="28"/>
        </w:rPr>
        <w:tab/>
        <w:t xml:space="preserve">от медицинского освидетельствования </w:t>
      </w:r>
      <w:proofErr w:type="spellStart"/>
      <w:r w:rsidRPr="0085410E">
        <w:rPr>
          <w:rFonts w:ascii="Times New Roman" w:hAnsi="Times New Roman"/>
          <w:sz w:val="28"/>
          <w:szCs w:val="28"/>
        </w:rPr>
        <w:t>освидетельствуемый</w:t>
      </w:r>
      <w:proofErr w:type="spellEnd"/>
      <w:r w:rsidRPr="0085410E">
        <w:rPr>
          <w:rFonts w:ascii="Times New Roman" w:hAnsi="Times New Roman"/>
          <w:sz w:val="28"/>
          <w:szCs w:val="28"/>
        </w:rPr>
        <w:t xml:space="preserve"> (законный представитель </w:t>
      </w:r>
      <w:proofErr w:type="spellStart"/>
      <w:r w:rsidRPr="0085410E">
        <w:rPr>
          <w:rFonts w:ascii="Times New Roman" w:hAnsi="Times New Roman"/>
          <w:sz w:val="28"/>
          <w:szCs w:val="28"/>
        </w:rPr>
        <w:t>освидетельствуемого</w:t>
      </w:r>
      <w:proofErr w:type="spellEnd"/>
      <w:r w:rsidRPr="0085410E">
        <w:rPr>
          <w:rFonts w:ascii="Times New Roman" w:hAnsi="Times New Roman"/>
          <w:sz w:val="28"/>
          <w:szCs w:val="28"/>
        </w:rPr>
        <w:t>) отказался.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отрицательном результате МОСО инспектор ГИБДД обязан доставить водителя к месту остановки его автомобиля (п. 240 Регламента).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Об отказе от прохождения гражданином медицинского освидетельствования в протоколе о направлении на медицинское освидетельствование делается соответствующая отметка, а в акте </w:t>
      </w:r>
      <w:r w:rsidRPr="0085410E">
        <w:rPr>
          <w:rFonts w:ascii="Times New Roman" w:hAnsi="Times New Roman"/>
          <w:sz w:val="28"/>
          <w:szCs w:val="28"/>
        </w:rPr>
        <w:lastRenderedPageBreak/>
        <w:t xml:space="preserve">медицинского освидетельствования - соответствующее заключение (ч. 5 ст. 27.12.1 КоАП РФ;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3 п. 14 Порядка).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 При этом данное правонарушение не может быть отнесено к малозначительным, а виновное в его совершении лицо - освобождено от административной ответственности (ст. 12.26 КоАП РФ; п. 13 Постановления Пленума Верховного Суда РФ N 20).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того, отказ от прохождения медицинского освидетельствования является обстоятельством, отягчающим административную ответственность (п. 6 ч. 1 ст. 4.3 КоАП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положительного результата освидетельствования либо отказа водителя от прохождения освидетельствования инспектор ГИБДД составляет соответствующий протокол об административном правонарушении, который вместе с собранными по делу доказательствами направляет в суд для разрешения дела в установленном порядке (ч. 1, 2 ст. 26.2, ч. 1 ст. 28.2, ч. 1 ст. 28.8 КоАП РФ).</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Порядок восстановления на работе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Основаниями для восстановления на работе являются (ч. 3 ст. 373, ч. 10 ст. 374, ч. 1 ст. 394 ТК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соответствующее решение суда или мировое соглашение;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решение трудовой инспекции (в случае увольнения члена профсоюза, несмотря на несогласие соответствующего выборного профсоюзного органа);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волеизъявление работодателя.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Как правило, работник подлежит восстановлению на работе, если увольнение признается незаконным, то есть со стороны работодателя имеются нарушения процедуры увольнения.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Восстановиться на работе после увольнения по собственному желанию можно при наличии вышеуказанных обстоятельств. Однако если нарушений процедуры увольнения не было, то работодатель в общем случае не обязан восстанавливать на работе работника, уволенного по собственному желанию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22 Постановления Пленума Верховного Суда РФ от 17.03.2004 N 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Вместе с тем суд может обязать работодателя восстановить на работе женщину, уволившуюся по собственному желанию и узнавшую о беременности после увольнения, даже если работодатель не нарушил процедуру ее увольнения (Определение Первого кассационного суда общей юрисдикции от 06.06.2022 N 88-14577/2022).</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Обязательный досудебный порядок урегулирования спора о незаконном увольнении не предусмотрен. Однако для восстановления на работе работник вправе обратиться с заявлением (жалобой) в государственную инспекцию труда и (или) прокуратуру (см. ситуацию: "Что делать в случае незаконного увольнения?").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незаконного увольнения работник вправе обратиться с требованием о восстановлении на работе в суд (ч. 2 ст. 391 ТК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Работник освобожден от уплаты госпошлины и судебных расходов при подаче искового заявления в целях восстановления на работе (ст. 393 ТК РФ; ст. 89 ГПК РФ;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1 п. 1 ст. 333.36 НК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случае удовлетворения требования работника о восстановлении на работе судебное решение считается исполненным, если работодателем отменен приказ (распоряжение) об увольнении, приняты меры для фактического допуска уволенного работника к выполнению прежних трудовых обязанностей и работник к ним допущен (ч. 1 ст. 106 Закона от 02.10.2007 N 229-ФЗ; п. 38 Постановления Пленума Верховного Суда РФ от 17.11.2015 N 50).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Восстановление на работе предполагает, в частности, аннулирование записи об увольнении в трудовой книжке работника путем признания ее недействительной, выплату среднего заработка за время вынужденного прогула, а также взыскание в пользу работника по его требованию денежной компенсации морального вреда - в случае удовлетворения такого требования </w:t>
      </w:r>
      <w:r w:rsidRPr="0085410E">
        <w:rPr>
          <w:rFonts w:ascii="Times New Roman" w:hAnsi="Times New Roman"/>
          <w:sz w:val="28"/>
          <w:szCs w:val="28"/>
        </w:rPr>
        <w:lastRenderedPageBreak/>
        <w:t>судом. Также потребуется корректировка работодателем сведений о трудовой деятельности (ст. 234, ч. 2 ст. 237, ч. 2, 9 ст. 394 ТК РФ; ст. 1, ч. 1, 4, 20 ст. 18 Закона от 14.07.2022 N 236-ФЗ; п. п. 12, 30 Правил, утв. Приказом Минтруда России от 19.05.2021 N 320н; п. 2.6 Порядка, утв. Приложением 2 к Постановлению Правления ПФР от 25.12.2019 N 730п).</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Средний заработок за время вынужденного прогула в связи с незаконным увольнением облагается НДФЛ, а сумма компенсации морального вреда, выплачиваемая работнику на основании решения суда, НДФЛ не облагается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6 п. 1 ст. 208, ст. 209, п. 1 ст. 217 НК РФ).</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Государственная помощь в трудоустройстве безработных граждан</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Гражданам РФ гарантируются защита от безработицы, а также бесплатное содействие в подборе подходящей работы и трудоустройстве при посредничестве органов службы занятости населения (п. 1 ст. 12 Закона от 19.04.1991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Гражданин, поставленный на регистрационный учет в целях поиска подходящей работы и на регистрационный учет в качестве безработного, имеет право воспользоваться рядом государственных услуг в целях содействия в трудоустройстве. В некоторых случаях также возможно получение различных денежных выплат (п. п. 1, 2 ст. 3 Закона N 1032-1; п. 3 Правил регистрации безработных граждан, утв. Постановлением Правительства РФ от 02.11.2021 N 1909; п. 2 Правил регистрации граждан в целях поиска подходящей работы, утв. Постановлением Правительства РФ N 1909).</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2023 г. установлены особенности организации предоставления гражданам, зарегистрированным в целях поиска подходящей работы, отдельных государственных услуг в сфере занятости населения, а также особенности правового регулирования трудовых отношений и иных непосредственно связанных с ними отношений, касающиеся в том числе временного перевода работника на работу к другому работодателю (Постановление Правительства РФ от 16.03.2022 N 376; Особенности, утв. Постановлением Правительства РФ от 30.03.2022 N 511).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Граждане вправе получить в органах службы занятости бесплатную консультацию, информацию и услуги, связанные с профориентацией, в частности, в целях выбора сферы деятельности (профессии), трудоустройства (п. 1 ст. 9, п. 2 ст. 12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Услуга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оказывается, в том числе, гражданам, зарегистрированным в целях поиска подходящей работы, безработным гражданам. Результатом предоставления государственной услуги является направление гражданину заключения о предоставлении государственной услуги и предоставление ему в ходе профессиональной консультации разъяснений по вопросам, содержащимся в заключении (п. п. 1, 2, 16 Стандарта, утв. Приказом Минтруда России от 25.02.2022 N 82н).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При этом заключение должно включать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"а" п. 16 Стандарта N 82н):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рекомендации,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выполнять работу по конкретным профессиям, специальностям, возможные направления прохождения 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w:t>
      </w:r>
      <w:r w:rsidRPr="0085410E">
        <w:rPr>
          <w:rFonts w:ascii="Times New Roman" w:hAnsi="Times New Roman"/>
          <w:sz w:val="28"/>
          <w:szCs w:val="28"/>
        </w:rPr>
        <w:lastRenderedPageBreak/>
        <w:t>гражданином успешности в профессиональной или предпринимательской деятельности;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тестирования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тренинга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Содействие в поиске подходящей работы предоставляется государственными учреждениями службы занятости населения гражданам, зарегистрированным в целях поиска подходящей работы. Результатом ее предоставления является выдача гражданину, в частности, предложения подходящей работы, уведомления о проведении переговоров или направления на работу (п. 1 ст. 12 Закона N 1032-1; п. п. 3, 15 Стандарта, утв. Приказом Минтруда России от 28.01.2022 N 27н).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Психологическая поддержка  предоставляется гражданам, признанным безработными. В рамках оказания государственной услуги могут реализовываться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 В рамках реализации сервисов могут проводиться тренинги, индивидуальные и групповые консультации, </w:t>
      </w:r>
      <w:proofErr w:type="spellStart"/>
      <w:r w:rsidRPr="0085410E">
        <w:rPr>
          <w:rFonts w:ascii="Times New Roman" w:hAnsi="Times New Roman"/>
          <w:sz w:val="28"/>
          <w:szCs w:val="28"/>
        </w:rPr>
        <w:t>вебинары</w:t>
      </w:r>
      <w:proofErr w:type="spellEnd"/>
      <w:r w:rsidRPr="0085410E">
        <w:rPr>
          <w:rFonts w:ascii="Times New Roman" w:hAnsi="Times New Roman"/>
          <w:sz w:val="28"/>
          <w:szCs w:val="28"/>
        </w:rPr>
        <w:t>, лекции и другие мероприятия.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Результатом предоставления услуги является направление гражданину заключения о предоставлении государственной услуги по психологической поддержке безработных граждан, включающего (п. 2 ст. 9, п. 2 ст. 12 Закона N 1032-1; п. п. 2, 15, 31 Стандарта, утв. Приказом Минтруда России от 28.03.2022 N 179н):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проведенного тестирования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реализованных сервисов с указанием перечня мероприятий в рамках каждого сервиса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Профилирование осуществляется государственными учреждениями службы занятости населения в отношении в том числе граждан, зарегистрированных в целях поиска подходящей работы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1 п. 2 Стандарта, утв. Приказом Минтруда России от 25.02.2022 N 84н).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Результатами осуществления полномочия в части профилирования граждан являются (п. 9 ст. 15 Закона N 1032-1; п. 12 Стандарта N 84н):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профильная группа гражданина, используемая для оказания гражданину эффективной помощи при предоставлении государственных услуг в области содействия занятости населения и иных дополнительных услуг;</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индивидуальный план предоставления гражданину государственных услуг (сервисов), реализации мероприятий в области содействия занятости населения, дополнительных услуг.</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Социальная адаптация на рынке труда  предоставляется гражданам, признанным безработными. Результатом ее предоставления является направление гражданину заключения о предоставлении государственной услуги по социальной адаптации безработных граждан на рынке труда, включающего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8 п. 1 ст. 7.1-1 Закона N 1032-1; п. п. 1, 2, 15 Стандарта, утв. Приказом Минтруда России от 27.04.2022 N 266н):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 xml:space="preserve">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rsidRPr="0085410E">
        <w:rPr>
          <w:rFonts w:ascii="Times New Roman" w:hAnsi="Times New Roman"/>
          <w:sz w:val="28"/>
          <w:szCs w:val="28"/>
        </w:rPr>
        <w:t>самопрезентации</w:t>
      </w:r>
      <w:proofErr w:type="spellEnd"/>
      <w:r w:rsidRPr="0085410E">
        <w:rPr>
          <w:rFonts w:ascii="Times New Roman" w:hAnsi="Times New Roman"/>
          <w:sz w:val="28"/>
          <w:szCs w:val="28"/>
        </w:rPr>
        <w:t xml:space="preserve"> и адаптации в коллективе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проведенного тестирования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результаты реализованных сервисов, с указанием перечня мероприятий в рамках каждого сервиса (при наличии);</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Профессиональное обучение и дополнительное профессиональное образование  может предоставляться гражданам, признанным безработными. Результатом ее предоставления являются выдача гражданину направления на обучение по установленной форме и направление гражданину заключения о предоставлении государственной услуги (п. 2 ст. 9, п. 2 ст. 12, п. п. 1, 3 ст. 23 Закона N 1032-1; п. п. 2, 15 Стандарта, утв. Приказом Минтруда России от 25.02.2022 N 81н).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того, на профессиональное обучение и дополнительное профессиональное образование по востребованным на рынке труда профессиям (специальностям) могут быть направлены женщины в период отпуска по уходу за ребенком до достижения им возраста трех лет, а также пенсионеры, стремящиеся возобновить трудовую деятельность (п. 1.1 ст. 23 Закона N 1032-1; п. 1 Стандарта, утв. Приказом Минтруда России от 28.04.2022 N 271н).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До 2024 г. реализуются мероприятия по организации профессионального обучения и дополнительного профессионального образования отдельных категорий граждан, в том числе в случае получения ими рекомендации органов службы занятости, в целях приобретения или развития гражданами имеющихся знаний, компетенций и навыков, а также </w:t>
      </w:r>
      <w:r w:rsidRPr="0085410E">
        <w:rPr>
          <w:rFonts w:ascii="Times New Roman" w:hAnsi="Times New Roman"/>
          <w:sz w:val="28"/>
          <w:szCs w:val="28"/>
        </w:rPr>
        <w:lastRenderedPageBreak/>
        <w:t xml:space="preserve">дальнейшего обеспечения их занятости (п. 1,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"б" п. 4 Положения, утв. Постановлением Правительства РФ от 27.05.2021 N 800).</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в общем случае сохраняется право на получение пособия по безработице. В указанный период оказание государственной услуги по содействию в поиске подходящей работы безработным гражданам приостанавливается.</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Также обучающимся гражданам может оказываться финансовая поддержка при направлении на профессиональное обучение или дополнительное профессиональное образование в другую местность (п. п. 1, 2 ст. 23 Закона N 1032-1; п. 14(1) Положения N 800;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"м" п. 15, п. 49 Стандарта N 271н).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Организация оплачиваемых общественных работ предоставляется гражданам, зарегистрированным в целях поиска подходящей работы, а также гражданам, признанным безработными. Безработные граждане, не получающие пособие по безработице, а также состоящие на учете в службе занятости населения свыше шести месяцев, имеют преимущество при предоставлении данной услуги. Результатами организации участия граждан в общественных работах является направление гражданину предложения (перечня) вариантов для участия в общественных работах или уведомления о проведении переговоров о трудоустройстве для участия в общественных работах и выдача гражданину направления для участия в общественных работах, в случае если у работодателя отсутствует регистрация на единой цифровой платформе. С гражданами, желающими участвовать в общественных работах, заключается срочный трудовой договор с оплатой согласно трудовому законодательству РФ (п. п. 1 - 3 ст. 24 Закона N 1032-1; п. п. 10, 15, 29, 31 Стандарта, утв. Приказом Минтруда России от 29.12.2021 N 931н).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Организация участия граждан, зарегистрированных в целях поиска подходящей работы, безработных граждан в общественных работах осуществляется центрами занятости населения (п. 9 Стандарта).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период участия в общественных работах безработным гражданам и несовершеннолетним гражданам в возрасте от 14 до 18 лет может оказываться материальная поддержка (п. 5 ст. 24 Закона N 1032-1; п. 17 Стандарта).</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Организация временного трудоустройства  предоставляется несовершеннолетним гражданам в возрасте от 14 до 18 лет, в свободное от учебы время, гражданам, испытывающим трудности в поиске работы и признанным безработными, в частности инвалидам, гражданам </w:t>
      </w:r>
      <w:proofErr w:type="spellStart"/>
      <w:r w:rsidRPr="0085410E">
        <w:rPr>
          <w:rFonts w:ascii="Times New Roman" w:hAnsi="Times New Roman"/>
          <w:sz w:val="28"/>
          <w:szCs w:val="28"/>
        </w:rPr>
        <w:t>предпенсионного</w:t>
      </w:r>
      <w:proofErr w:type="spellEnd"/>
      <w:r w:rsidRPr="0085410E">
        <w:rPr>
          <w:rFonts w:ascii="Times New Roman" w:hAnsi="Times New Roman"/>
          <w:sz w:val="28"/>
          <w:szCs w:val="28"/>
        </w:rPr>
        <w:t xml:space="preserve"> возраста (в течение пяти лет до наступления возраста, дающего право на страховую пенсию по старости, в том числе назначаемую досрочно), беженцам и вынужденным переселенцам, а также гражданам в возрасте от 18 до 25 лет, имеющим среднее профессиональное образование или высшее образование и ищущим работу в течение года с даты выдачи им </w:t>
      </w:r>
      <w:r w:rsidRPr="0085410E">
        <w:rPr>
          <w:rFonts w:ascii="Times New Roman" w:hAnsi="Times New Roman"/>
          <w:sz w:val="28"/>
          <w:szCs w:val="28"/>
        </w:rPr>
        <w:lastRenderedPageBreak/>
        <w:t xml:space="preserve">документа об образовании и о квалификации. Результатом предоставления услуги является направление гражданину предложения (перечня) вариантов временного трудоустройства или уведомления о проведении переговоров о временном трудоустройстве и выдача гражданину направления на временное трудоустройство, в случае если у работодателя отсутствует регистрация на единой цифровой платформе (п. 2 ст. 5,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8 п. 1 ст. 7.1-1 Закона N 1032-1; п. п. 2, 17 Стандарта, утв. Приказом Минтруда России от 28.01.2022 N 25н).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В период временного трудоустройства безработным гражданам и несовершеннолетним гражданам в возрасте от 14 до 18 лет может оказываться материальная поддержка (п. 5 ст. 24 Закона N 1032-1; п. 20 Стандарта N 25н).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Содействие в переезде и переселении в другую местность для трудоустройства  предоставляется гражданам, признанным безработными. С безработным гражданином, которому подобрана и согласована с ним вакансия в другой местности, заключается договор о переезде или переселении. Результатом предоставления услуги является выдача гражданину направления на работу для трудоустройства в другой местности и оказание ему финансовой поддержки при переезде или гражданину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 Финансовая поддержка включает оплату стоимости проезда, суточные расходы, оплату найма жилого помещения либо единовременное пособие (п. 2 ст. 9, ст. 22.1 Закона N 1032-1; п. п. 2, 17, 20, 36, 38, 44 Стандарта, утв. Приказом Минтруда России от 07.04.2022 N 204н).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Сопровождение при содействии занятости инвалидов  предоставляется незанятым инвалидам, нуждающимся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w:t>
      </w:r>
      <w:proofErr w:type="spellStart"/>
      <w:r w:rsidRPr="0085410E">
        <w:rPr>
          <w:rFonts w:ascii="Times New Roman" w:hAnsi="Times New Roman"/>
          <w:sz w:val="28"/>
          <w:szCs w:val="28"/>
        </w:rPr>
        <w:t>абилитации</w:t>
      </w:r>
      <w:proofErr w:type="spellEnd"/>
      <w:r w:rsidRPr="0085410E">
        <w:rPr>
          <w:rFonts w:ascii="Times New Roman" w:hAnsi="Times New Roman"/>
          <w:sz w:val="28"/>
          <w:szCs w:val="28"/>
        </w:rPr>
        <w:t>. Под сопровождением понимается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 Результатами предоставления государственной услуги являются сертификат о предоставлении государственной услуги по организации сопровождения при содействии занятости инвалидов, а также индивидуальный план мероприятий, рекомендуемых при сопровождении инвалида при оформлении его трудоустройства, профессиональной адаптации на рабочем месте, формировании пути его передвижения до места работы и обратно и по территории работодателя (п. п. 1, 2, 5 ст. 13.1 Закона N 1032-1; п. п. 2, 3, 13 Стандарта, утв. Приказом Минтруда России от 28.03.2022 N 174н).</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Мероприятия по организации сопровождения при содействии занятости инвалидов включаются в региональные программы содействия занятости населения (п. 3 ст. 13.1 Закона N 1032-1; Распоряжение Правительства МО от 24.12.2021 N 1315-РП).</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 xml:space="preserve">Государственные услуги, связанные с содействием в трудоустройстве, в зависимости от вида услуги могут предоставляться на основании заявления и иных сведений гражданина, которые могут быть поданы, в частности, при личном обращении в орган службы занятости или в МФЦ, по почте, с использованием средств факсимильной связи или в электронной форме, в том числе с использованием Единой цифровой платформы в сфере занятости и трудовых отношений "Работа в России", единого портала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или регионального портала </w:t>
      </w:r>
      <w:proofErr w:type="spellStart"/>
      <w:r w:rsidRPr="0085410E">
        <w:rPr>
          <w:rFonts w:ascii="Times New Roman" w:hAnsi="Times New Roman"/>
          <w:sz w:val="28"/>
          <w:szCs w:val="28"/>
        </w:rPr>
        <w:t>госуслуг</w:t>
      </w:r>
      <w:proofErr w:type="spellEnd"/>
      <w:r w:rsidRPr="0085410E">
        <w:rPr>
          <w:rFonts w:ascii="Times New Roman" w:hAnsi="Times New Roman"/>
          <w:sz w:val="28"/>
          <w:szCs w:val="28"/>
        </w:rPr>
        <w:t xml:space="preserve">. При личном посещении центра занятости населения потребуется предъявить паспорт или документ, его заменяющий. Также могут потребоваться иные документы. Порядок обращения зависит от вида государственной услуги (п. п. 3.1, 9 ст. 15, п. 1 ст. 16.2, п. 1.1 ст. 23, п. 3 ст. 24.1 Закона N 1032-1; п. п. 4, 5, 16, 20 Правил регистрации граждан в целях поиска подходящей работы; п. п. 6, 7 Правил регистрации безработных граждан; п. п. 6 - 10 Стандарта N 27н; п. п. 5, 6, 9, 10, 11 Стандарта N 179н; п. п. 5, 6, 8, 9, 10, 11 Стандарта N 266н; п. п. 5, 6, 8, 9, 10 Стандарта N 81н; п. п. 5, 6, 8, 9, 10 Стандарта N 82н; п. п. 6 - 9 Стандарта N 84н; п. п. 5 - 7, 10 - 12 Стандарта N 25н; п. п. 6 - 8, 10 - 12 Стандарта N 204н; п. п. 6, 7, 9, 10 Стандарта N 174н; п. 27.10 Приложения 1 к Постановлению Правительства Москвы от 23.04.2014 N 219-ПП; п. п. 18, 19, 21, 22 Стандарта; Письмо </w:t>
      </w:r>
      <w:proofErr w:type="spellStart"/>
      <w:r w:rsidRPr="0085410E">
        <w:rPr>
          <w:rFonts w:ascii="Times New Roman" w:hAnsi="Times New Roman"/>
          <w:sz w:val="28"/>
          <w:szCs w:val="28"/>
        </w:rPr>
        <w:t>Роструда</w:t>
      </w:r>
      <w:proofErr w:type="spellEnd"/>
      <w:r w:rsidRPr="0085410E">
        <w:rPr>
          <w:rFonts w:ascii="Times New Roman" w:hAnsi="Times New Roman"/>
          <w:sz w:val="28"/>
          <w:szCs w:val="28"/>
        </w:rPr>
        <w:t xml:space="preserve"> от 14.04.2021 N 851-ТЗ).</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Инвалидам I и II групп может быть оказана помощь в подаче заявления и иных сведений в целях получения государственных услуг, связанных с содействием в трудоустройстве, в том числе по месту их жительства (п. 3.1 ст. 15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Услуги, связанные с содействием занятости, предоставляются бесплатно (п. 3 ст. 15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 xml:space="preserve">Государство помогает гражданам, решившим искать работу самостоятельно, посредством Единой цифровой платформы в сфере занятости и трудовых отношений "Работа в России" (ст. 16.2 Закона N 1032-1; п. 1,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"ж" п. 17 Правил, утв. Постановлением Правительства РФ от 13.05.2022 N 867).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Так, на платформе "Работа в России" размещается информация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 (</w:t>
      </w:r>
      <w:proofErr w:type="spellStart"/>
      <w:r w:rsidRPr="0085410E">
        <w:rPr>
          <w:rFonts w:ascii="Times New Roman" w:hAnsi="Times New Roman"/>
          <w:sz w:val="28"/>
          <w:szCs w:val="28"/>
        </w:rPr>
        <w:t>пп</w:t>
      </w:r>
      <w:proofErr w:type="spellEnd"/>
      <w:r w:rsidRPr="0085410E">
        <w:rPr>
          <w:rFonts w:ascii="Times New Roman" w:hAnsi="Times New Roman"/>
          <w:sz w:val="28"/>
          <w:szCs w:val="28"/>
        </w:rPr>
        <w:t>. 1 п. 1 ст. 16.2 Закона N 1032-1; п. 21 Правил N 867).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Кроме того, Единая цифровая платформа обеспечивает, в частности (п. 4 ст. 16.2 Закона N 1032-1):</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обработку информации, перечень которой утверждается Правительством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представление информации, содержащейся на Единой цифровой платформе, в электронной форме;</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w:t>
      </w:r>
      <w:r w:rsidRPr="0085410E">
        <w:rPr>
          <w:rFonts w:ascii="Times New Roman" w:hAnsi="Times New Roman"/>
          <w:sz w:val="28"/>
          <w:szCs w:val="28"/>
        </w:rPr>
        <w:tab/>
        <w:t>размещение гражданами информации, перечень которой устанавливается Правительством РФ.</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lastRenderedPageBreak/>
        <w:tab/>
        <w:t>Информация, содержащаяся на Единой цифровой платформе, является общедоступной и предоставляется безвозмездно (п. 8 ст. 16.2 Закона N 1032-1; п. 51 Правил N 867).</w:t>
      </w: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В органах службы занятости гражданам обеспечивается бесплатный доступ, в частности, к Единой цифровой платформе "Работа в России" (п. 3.1 ст. 15 Закона N 1032-1).</w:t>
      </w:r>
    </w:p>
    <w:p w:rsidR="0085410E" w:rsidRPr="0085410E" w:rsidRDefault="0085410E" w:rsidP="0085410E">
      <w:pPr>
        <w:spacing w:after="0" w:line="240" w:lineRule="auto"/>
        <w:contextualSpacing/>
        <w:jc w:val="both"/>
        <w:rPr>
          <w:rFonts w:ascii="Times New Roman" w:hAnsi="Times New Roman"/>
          <w:sz w:val="28"/>
          <w:szCs w:val="28"/>
        </w:rPr>
      </w:pPr>
    </w:p>
    <w:p w:rsidR="0085410E" w:rsidRPr="0085410E" w:rsidRDefault="0085410E" w:rsidP="0085410E">
      <w:pPr>
        <w:spacing w:after="0" w:line="240" w:lineRule="auto"/>
        <w:contextualSpacing/>
        <w:jc w:val="both"/>
        <w:rPr>
          <w:rFonts w:ascii="Times New Roman" w:hAnsi="Times New Roman"/>
          <w:sz w:val="28"/>
          <w:szCs w:val="28"/>
        </w:rPr>
      </w:pPr>
      <w:r w:rsidRPr="0085410E">
        <w:rPr>
          <w:rFonts w:ascii="Times New Roman" w:hAnsi="Times New Roman"/>
          <w:sz w:val="28"/>
          <w:szCs w:val="28"/>
        </w:rPr>
        <w:tab/>
        <w:t>Помощник прокурора Тимошенко Т.Е.</w:t>
      </w:r>
    </w:p>
    <w:sectPr w:rsidR="0085410E" w:rsidRPr="0085410E"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45"/>
    <w:rsid w:val="0003180C"/>
    <w:rsid w:val="00067E94"/>
    <w:rsid w:val="000B7416"/>
    <w:rsid w:val="0023059F"/>
    <w:rsid w:val="003661B6"/>
    <w:rsid w:val="003F05EC"/>
    <w:rsid w:val="0041062A"/>
    <w:rsid w:val="005A42D2"/>
    <w:rsid w:val="00610552"/>
    <w:rsid w:val="0077470B"/>
    <w:rsid w:val="0085410E"/>
    <w:rsid w:val="00882245"/>
    <w:rsid w:val="008D3C3F"/>
    <w:rsid w:val="009B46ED"/>
    <w:rsid w:val="00B113EE"/>
    <w:rsid w:val="00B1390E"/>
    <w:rsid w:val="00BF3AF4"/>
    <w:rsid w:val="00CA1C37"/>
    <w:rsid w:val="00D11CD8"/>
    <w:rsid w:val="00D22A06"/>
    <w:rsid w:val="00ED28EA"/>
    <w:rsid w:val="00F12F34"/>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1C5BF-86B3-4806-8FEE-511703B0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9018</Words>
  <Characters>51403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2</cp:revision>
  <dcterms:created xsi:type="dcterms:W3CDTF">2023-05-12T09:39:00Z</dcterms:created>
  <dcterms:modified xsi:type="dcterms:W3CDTF">2023-05-12T09:39:00Z</dcterms:modified>
</cp:coreProperties>
</file>